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B7" w:rsidRDefault="004E32B7" w:rsidP="00EB70FB">
      <w:pPr>
        <w:spacing w:line="276" w:lineRule="auto"/>
        <w:jc w:val="center"/>
        <w:rPr>
          <w:rFonts w:ascii="Trebuchet MS" w:hAnsi="Trebuchet MS"/>
          <w:b/>
          <w:sz w:val="22"/>
          <w:szCs w:val="22"/>
          <w:lang w:val="ro-RO"/>
        </w:rPr>
      </w:pPr>
      <w:bookmarkStart w:id="0" w:name="_GoBack"/>
      <w:bookmarkEnd w:id="0"/>
      <w:r>
        <w:rPr>
          <w:rFonts w:ascii="Trebuchet MS" w:hAnsi="Trebuchet MS"/>
          <w:b/>
          <w:sz w:val="22"/>
          <w:szCs w:val="22"/>
          <w:lang w:val="ro-RO"/>
        </w:rPr>
        <w:t>STRATEGIA DE DEZVOLTARE LOCALĂ</w:t>
      </w:r>
      <w:r w:rsidR="00637B08" w:rsidRPr="00D16A77">
        <w:rPr>
          <w:rFonts w:ascii="Trebuchet MS" w:hAnsi="Trebuchet MS"/>
          <w:b/>
          <w:sz w:val="22"/>
          <w:szCs w:val="22"/>
          <w:lang w:val="ro-RO"/>
        </w:rPr>
        <w:t xml:space="preserve"> A </w:t>
      </w:r>
      <w:r>
        <w:rPr>
          <w:rFonts w:ascii="Trebuchet MS" w:hAnsi="Trebuchet MS"/>
          <w:b/>
          <w:sz w:val="22"/>
          <w:szCs w:val="22"/>
          <w:lang w:val="ro-RO"/>
        </w:rPr>
        <w:t>PARTENERIATULUI</w:t>
      </w:r>
      <w:r w:rsidR="00637B08" w:rsidRPr="00D16A77">
        <w:rPr>
          <w:rFonts w:ascii="Trebuchet MS" w:hAnsi="Trebuchet MS"/>
          <w:b/>
          <w:sz w:val="22"/>
          <w:szCs w:val="22"/>
          <w:lang w:val="ro-RO"/>
        </w:rPr>
        <w:t xml:space="preserve"> ȚARA ZARANDUL</w:t>
      </w:r>
      <w:r>
        <w:rPr>
          <w:rFonts w:ascii="Trebuchet MS" w:hAnsi="Trebuchet MS"/>
          <w:b/>
          <w:sz w:val="22"/>
          <w:szCs w:val="22"/>
          <w:lang w:val="ro-RO"/>
        </w:rPr>
        <w:t>UI</w:t>
      </w:r>
    </w:p>
    <w:p w:rsidR="00637B08" w:rsidRPr="00D16A77" w:rsidRDefault="004E32B7" w:rsidP="00EB70FB">
      <w:pPr>
        <w:spacing w:line="276" w:lineRule="auto"/>
        <w:jc w:val="center"/>
        <w:rPr>
          <w:rFonts w:ascii="Trebuchet MS" w:hAnsi="Trebuchet MS"/>
          <w:b/>
          <w:sz w:val="22"/>
          <w:szCs w:val="22"/>
          <w:lang w:val="ro-RO"/>
        </w:rPr>
      </w:pPr>
      <w:r>
        <w:rPr>
          <w:rFonts w:ascii="Trebuchet MS" w:hAnsi="Trebuchet MS"/>
          <w:b/>
          <w:sz w:val="22"/>
          <w:szCs w:val="22"/>
          <w:lang w:val="ro-RO"/>
        </w:rPr>
        <w:t>JUDEȚUL HUNEDOARA</w:t>
      </w:r>
    </w:p>
    <w:p w:rsidR="00637B08" w:rsidRPr="00D16A77" w:rsidRDefault="00637B08" w:rsidP="00EB70FB">
      <w:pPr>
        <w:spacing w:line="276" w:lineRule="auto"/>
        <w:jc w:val="both"/>
        <w:rPr>
          <w:rFonts w:ascii="Trebuchet MS" w:hAnsi="Trebuchet MS"/>
          <w:b/>
          <w:sz w:val="22"/>
          <w:szCs w:val="22"/>
          <w:lang w:val="ro-RO"/>
        </w:rPr>
      </w:pPr>
    </w:p>
    <w:p w:rsidR="00637B08" w:rsidRDefault="009C7BF9" w:rsidP="009C7BF9">
      <w:pPr>
        <w:spacing w:line="276" w:lineRule="auto"/>
        <w:jc w:val="center"/>
        <w:rPr>
          <w:rFonts w:ascii="Trebuchet MS" w:hAnsi="Trebuchet MS"/>
          <w:b/>
          <w:sz w:val="22"/>
          <w:szCs w:val="22"/>
          <w:lang w:val="ro-RO"/>
        </w:rPr>
      </w:pPr>
      <w:r>
        <w:rPr>
          <w:rFonts w:ascii="Trebuchet MS" w:hAnsi="Trebuchet MS"/>
          <w:b/>
          <w:sz w:val="22"/>
          <w:szCs w:val="22"/>
          <w:lang w:val="ro-RO"/>
        </w:rPr>
        <w:t>INTRODUCERE</w:t>
      </w:r>
    </w:p>
    <w:p w:rsidR="009C7BF9" w:rsidRPr="00D16A77" w:rsidRDefault="009C7BF9" w:rsidP="009C7BF9">
      <w:pPr>
        <w:spacing w:line="276" w:lineRule="auto"/>
        <w:jc w:val="center"/>
        <w:rPr>
          <w:rFonts w:ascii="Trebuchet MS" w:hAnsi="Trebuchet MS"/>
          <w:b/>
          <w:sz w:val="22"/>
          <w:szCs w:val="22"/>
          <w:lang w:val="ro-RO"/>
        </w:rPr>
      </w:pPr>
    </w:p>
    <w:p w:rsidR="00637B08" w:rsidRPr="00D16A77" w:rsidRDefault="00606EBD" w:rsidP="00EB70FB">
      <w:pPr>
        <w:spacing w:line="276" w:lineRule="auto"/>
        <w:ind w:firstLine="720"/>
        <w:jc w:val="both"/>
        <w:rPr>
          <w:rFonts w:ascii="Trebuchet MS" w:hAnsi="Trebuchet MS"/>
          <w:sz w:val="22"/>
          <w:szCs w:val="22"/>
        </w:rPr>
      </w:pPr>
      <w:r w:rsidRPr="00D16A77">
        <w:rPr>
          <w:rFonts w:ascii="Trebuchet MS" w:hAnsi="Trebuchet MS"/>
          <w:sz w:val="22"/>
          <w:szCs w:val="22"/>
        </w:rPr>
        <w:t>Elaborarea</w:t>
      </w:r>
      <w:r w:rsidR="00130238">
        <w:rPr>
          <w:rFonts w:ascii="Trebuchet MS" w:hAnsi="Trebuchet MS"/>
          <w:sz w:val="22"/>
          <w:szCs w:val="22"/>
        </w:rPr>
        <w:t xml:space="preserve"> </w:t>
      </w:r>
      <w:r w:rsidRPr="00D16A77">
        <w:rPr>
          <w:rFonts w:ascii="Trebuchet MS" w:hAnsi="Trebuchet MS"/>
          <w:sz w:val="22"/>
          <w:szCs w:val="22"/>
        </w:rPr>
        <w:t>și</w:t>
      </w:r>
      <w:r w:rsidR="00130238">
        <w:rPr>
          <w:rFonts w:ascii="Trebuchet MS" w:hAnsi="Trebuchet MS"/>
          <w:sz w:val="22"/>
          <w:szCs w:val="22"/>
        </w:rPr>
        <w:t xml:space="preserve"> </w:t>
      </w:r>
      <w:r w:rsidRPr="00D16A77">
        <w:rPr>
          <w:rFonts w:ascii="Trebuchet MS" w:hAnsi="Trebuchet MS"/>
          <w:sz w:val="22"/>
          <w:szCs w:val="22"/>
        </w:rPr>
        <w:t>implementarea</w:t>
      </w:r>
      <w:r w:rsidR="00130238">
        <w:rPr>
          <w:rFonts w:ascii="Trebuchet MS" w:hAnsi="Trebuchet MS"/>
          <w:sz w:val="22"/>
          <w:szCs w:val="22"/>
        </w:rPr>
        <w:t xml:space="preserve"> </w:t>
      </w:r>
      <w:r w:rsidRPr="00D16A77">
        <w:rPr>
          <w:rFonts w:ascii="Trebuchet MS" w:hAnsi="Trebuchet MS"/>
          <w:sz w:val="22"/>
          <w:szCs w:val="22"/>
        </w:rPr>
        <w:t>Strategiei de Dezvoltare</w:t>
      </w:r>
      <w:r w:rsidR="00130238">
        <w:rPr>
          <w:rFonts w:ascii="Trebuchet MS" w:hAnsi="Trebuchet MS"/>
          <w:sz w:val="22"/>
          <w:szCs w:val="22"/>
        </w:rPr>
        <w:t xml:space="preserve"> </w:t>
      </w:r>
      <w:r w:rsidRPr="00D16A77">
        <w:rPr>
          <w:rFonts w:ascii="Trebuchet MS" w:hAnsi="Trebuchet MS"/>
          <w:sz w:val="22"/>
          <w:szCs w:val="22"/>
        </w:rPr>
        <w:t>Locală a teritoriului</w:t>
      </w:r>
      <w:r w:rsidRPr="00D16A77">
        <w:rPr>
          <w:rFonts w:ascii="Trebuchet MS" w:hAnsi="Trebuchet MS"/>
          <w:sz w:val="22"/>
          <w:szCs w:val="22"/>
          <w:lang w:val="ro-RO"/>
        </w:rPr>
        <w:t>Țara Zarandului</w:t>
      </w:r>
      <w:r w:rsidR="00130238">
        <w:rPr>
          <w:rFonts w:ascii="Trebuchet MS" w:hAnsi="Trebuchet MS"/>
          <w:sz w:val="22"/>
          <w:szCs w:val="22"/>
          <w:lang w:val="ro-RO"/>
        </w:rPr>
        <w:t xml:space="preserve"> </w:t>
      </w:r>
      <w:r w:rsidRPr="00D16A77">
        <w:rPr>
          <w:rFonts w:ascii="Trebuchet MS" w:hAnsi="Trebuchet MS"/>
          <w:color w:val="000000" w:themeColor="text1"/>
          <w:sz w:val="22"/>
          <w:szCs w:val="22"/>
          <w:lang w:val="ro-RO"/>
        </w:rPr>
        <w:t xml:space="preserve">2014-2020 revine Asociației </w:t>
      </w:r>
      <w:r w:rsidR="004E32B7">
        <w:rPr>
          <w:rFonts w:ascii="Trebuchet MS" w:hAnsi="Trebuchet MS"/>
          <w:color w:val="000000" w:themeColor="text1"/>
          <w:sz w:val="22"/>
          <w:szCs w:val="22"/>
          <w:lang w:val="ro-RO"/>
        </w:rPr>
        <w:t>Intercomunitare</w:t>
      </w:r>
      <w:r w:rsidRPr="00D16A77">
        <w:rPr>
          <w:rFonts w:ascii="Trebuchet MS" w:hAnsi="Trebuchet MS"/>
          <w:color w:val="000000" w:themeColor="text1"/>
          <w:sz w:val="22"/>
          <w:szCs w:val="22"/>
          <w:lang w:val="ro-RO"/>
        </w:rPr>
        <w:t xml:space="preserve"> Țara Zarandului</w:t>
      </w:r>
      <w:r w:rsidR="004E32B7">
        <w:rPr>
          <w:rFonts w:ascii="Trebuchet MS" w:hAnsi="Trebuchet MS"/>
          <w:color w:val="000000" w:themeColor="text1"/>
          <w:sz w:val="22"/>
          <w:szCs w:val="22"/>
          <w:lang w:val="ro-RO"/>
        </w:rPr>
        <w:t xml:space="preserve"> LEADER GAL</w:t>
      </w:r>
      <w:r w:rsidRPr="00D16A77">
        <w:rPr>
          <w:rFonts w:ascii="Trebuchet MS" w:hAnsi="Trebuchet MS"/>
          <w:color w:val="000000" w:themeColor="text1"/>
          <w:sz w:val="22"/>
          <w:szCs w:val="22"/>
          <w:lang w:val="ro-RO"/>
        </w:rPr>
        <w:t>”, asociație înființată în anul 2011, conform OG nr. 26/2000. În perioada de programare 2007-2013, asociația a fost autorizată de Ministerul Agriculturii prin AM PNDR, conform deciziei de autorizare nr.</w:t>
      </w:r>
      <w:r w:rsidR="004F528B" w:rsidRPr="004F528B">
        <w:rPr>
          <w:rFonts w:ascii="Trebuchet MS" w:hAnsi="Trebuchet MS"/>
          <w:sz w:val="22"/>
          <w:szCs w:val="22"/>
        </w:rPr>
        <w:t>61470/19.07.2011</w:t>
      </w:r>
      <w:r w:rsidRPr="00D16A77">
        <w:rPr>
          <w:rFonts w:ascii="Trebuchet MS" w:hAnsi="Trebuchet MS"/>
          <w:color w:val="000000" w:themeColor="text1"/>
          <w:sz w:val="22"/>
          <w:szCs w:val="22"/>
          <w:lang w:val="ro-RO"/>
        </w:rPr>
        <w:t>, pentru implementarea Strategiei de Dezvoltare Locală a teritoriului pe perioada 2007</w:t>
      </w:r>
      <w:r w:rsidR="004E32B7">
        <w:rPr>
          <w:rFonts w:ascii="Trebuchet MS" w:hAnsi="Trebuchet MS"/>
          <w:color w:val="000000" w:themeColor="text1"/>
          <w:sz w:val="22"/>
          <w:szCs w:val="22"/>
          <w:lang w:val="ro-RO"/>
        </w:rPr>
        <w:t>-2013. Succesul implementării mă</w:t>
      </w:r>
      <w:r w:rsidRPr="00D16A77">
        <w:rPr>
          <w:rFonts w:ascii="Trebuchet MS" w:hAnsi="Trebuchet MS"/>
          <w:color w:val="000000" w:themeColor="text1"/>
          <w:sz w:val="22"/>
          <w:szCs w:val="22"/>
          <w:lang w:val="ro-RO"/>
        </w:rPr>
        <w:t>surilor de politică agricolă comună anterior animării teritoriului acoperit de parteneriat, conjugat cu posibilitatea dezvoltării rezonate pe direcții strategice specifice au condus la exprimarea explicită a interesului participanților reprezentând toți factorii interesați relevanți pentru demersul construirii Strategiei de Dezvoltare Locală.</w:t>
      </w:r>
    </w:p>
    <w:p w:rsidR="00DC7FD7" w:rsidRPr="00D16A77" w:rsidRDefault="00FB4821" w:rsidP="00EB70FB">
      <w:pPr>
        <w:pStyle w:val="Default"/>
        <w:spacing w:line="276" w:lineRule="auto"/>
        <w:jc w:val="both"/>
        <w:rPr>
          <w:rFonts w:ascii="Trebuchet MS" w:hAnsi="Trebuchet MS"/>
          <w:sz w:val="22"/>
          <w:szCs w:val="22"/>
        </w:rPr>
      </w:pPr>
      <w:r w:rsidRPr="00D16A77">
        <w:rPr>
          <w:rFonts w:ascii="Trebuchet MS" w:eastAsia="Times New Roman" w:hAnsi="Trebuchet MS"/>
          <w:sz w:val="22"/>
          <w:szCs w:val="22"/>
        </w:rPr>
        <w:t>Microregiu</w:t>
      </w:r>
      <w:r w:rsidR="004F528B">
        <w:rPr>
          <w:rFonts w:ascii="Trebuchet MS" w:eastAsia="Times New Roman" w:hAnsi="Trebuchet MS"/>
          <w:sz w:val="22"/>
          <w:szCs w:val="22"/>
        </w:rPr>
        <w:t>n</w:t>
      </w:r>
      <w:r w:rsidRPr="00D16A77">
        <w:rPr>
          <w:rFonts w:ascii="Trebuchet MS" w:eastAsia="Times New Roman" w:hAnsi="Trebuchet MS"/>
          <w:sz w:val="22"/>
          <w:szCs w:val="22"/>
        </w:rPr>
        <w:t xml:space="preserve">ea Țara Zarandului reprezintă </w:t>
      </w:r>
      <w:r w:rsidRPr="00D16A77">
        <w:rPr>
          <w:rFonts w:ascii="Trebuchet MS" w:eastAsia="Times New Roman" w:hAnsi="Trebuchet MS"/>
          <w:bCs/>
          <w:sz w:val="22"/>
          <w:szCs w:val="22"/>
        </w:rPr>
        <w:t>un teritoriu rural</w:t>
      </w:r>
      <w:r w:rsidRPr="00D16A77">
        <w:rPr>
          <w:rFonts w:ascii="Trebuchet MS" w:eastAsia="Times New Roman" w:hAnsi="Trebuchet MS"/>
          <w:bCs/>
          <w:spacing w:val="-2"/>
          <w:sz w:val="22"/>
          <w:szCs w:val="22"/>
        </w:rPr>
        <w:t xml:space="preserve">, coerent </w:t>
      </w:r>
      <w:r w:rsidRPr="00D16A77">
        <w:rPr>
          <w:rFonts w:ascii="Trebuchet MS" w:eastAsia="Times New Roman" w:hAnsi="Trebuchet MS"/>
          <w:bCs/>
          <w:sz w:val="22"/>
          <w:szCs w:val="22"/>
        </w:rPr>
        <w:t>geografic si teritorial, contin</w:t>
      </w:r>
      <w:r w:rsidR="004E32B7">
        <w:rPr>
          <w:rFonts w:ascii="Trebuchet MS" w:eastAsia="Times New Roman" w:hAnsi="Trebuchet MS"/>
          <w:bCs/>
          <w:sz w:val="22"/>
          <w:szCs w:val="22"/>
        </w:rPr>
        <w:t>u</w:t>
      </w:r>
      <w:r w:rsidRPr="00D16A77">
        <w:rPr>
          <w:rFonts w:ascii="Trebuchet MS" w:eastAsia="Times New Roman" w:hAnsi="Trebuchet MS"/>
          <w:bCs/>
          <w:sz w:val="22"/>
          <w:szCs w:val="22"/>
        </w:rPr>
        <w:t>u, co</w:t>
      </w:r>
      <w:r w:rsidRPr="00D16A77">
        <w:rPr>
          <w:rFonts w:ascii="Trebuchet MS" w:eastAsia="Times New Roman" w:hAnsi="Trebuchet MS"/>
          <w:bCs/>
          <w:spacing w:val="-6"/>
          <w:sz w:val="22"/>
          <w:szCs w:val="22"/>
        </w:rPr>
        <w:t>m</w:t>
      </w:r>
      <w:r w:rsidR="004E32B7">
        <w:rPr>
          <w:rFonts w:ascii="Trebuchet MS" w:eastAsia="Times New Roman" w:hAnsi="Trebuchet MS"/>
          <w:bCs/>
          <w:sz w:val="22"/>
          <w:szCs w:val="22"/>
        </w:rPr>
        <w:t>pact ș</w:t>
      </w:r>
      <w:r w:rsidRPr="00D16A77">
        <w:rPr>
          <w:rFonts w:ascii="Trebuchet MS" w:eastAsia="Times New Roman" w:hAnsi="Trebuchet MS"/>
          <w:bCs/>
          <w:sz w:val="22"/>
          <w:szCs w:val="22"/>
        </w:rPr>
        <w:t>i o</w:t>
      </w:r>
      <w:r w:rsidRPr="00D16A77">
        <w:rPr>
          <w:rFonts w:ascii="Trebuchet MS" w:eastAsia="Times New Roman" w:hAnsi="Trebuchet MS"/>
          <w:bCs/>
          <w:spacing w:val="-4"/>
          <w:sz w:val="22"/>
          <w:szCs w:val="22"/>
        </w:rPr>
        <w:t>m</w:t>
      </w:r>
      <w:r w:rsidRPr="00D16A77">
        <w:rPr>
          <w:rFonts w:ascii="Trebuchet MS" w:eastAsia="Times New Roman" w:hAnsi="Trebuchet MS"/>
          <w:bCs/>
          <w:sz w:val="22"/>
          <w:szCs w:val="22"/>
        </w:rPr>
        <w:t>ogen din punct de v</w:t>
      </w:r>
      <w:r w:rsidRPr="00D16A77">
        <w:rPr>
          <w:rFonts w:ascii="Trebuchet MS" w:eastAsia="Times New Roman" w:hAnsi="Trebuchet MS"/>
          <w:bCs/>
          <w:spacing w:val="-6"/>
          <w:sz w:val="22"/>
          <w:szCs w:val="22"/>
        </w:rPr>
        <w:t>e</w:t>
      </w:r>
      <w:r w:rsidRPr="00D16A77">
        <w:rPr>
          <w:rFonts w:ascii="Trebuchet MS" w:eastAsia="Times New Roman" w:hAnsi="Trebuchet MS"/>
          <w:bCs/>
          <w:sz w:val="22"/>
          <w:szCs w:val="22"/>
        </w:rPr>
        <w:t>de</w:t>
      </w:r>
      <w:r w:rsidRPr="00D16A77">
        <w:rPr>
          <w:rFonts w:ascii="Trebuchet MS" w:eastAsia="Times New Roman" w:hAnsi="Trebuchet MS"/>
          <w:bCs/>
          <w:spacing w:val="-7"/>
          <w:sz w:val="22"/>
          <w:szCs w:val="22"/>
        </w:rPr>
        <w:t>r</w:t>
      </w:r>
      <w:r w:rsidRPr="00D16A77">
        <w:rPr>
          <w:rFonts w:ascii="Trebuchet MS" w:eastAsia="Times New Roman" w:hAnsi="Trebuchet MS"/>
          <w:bCs/>
          <w:sz w:val="22"/>
          <w:szCs w:val="22"/>
        </w:rPr>
        <w:t xml:space="preserve">e </w:t>
      </w:r>
      <w:r w:rsidR="004E32B7">
        <w:rPr>
          <w:rFonts w:ascii="Trebuchet MS" w:eastAsia="Times New Roman" w:hAnsi="Trebuchet MS"/>
          <w:bCs/>
          <w:spacing w:val="2"/>
          <w:sz w:val="22"/>
          <w:szCs w:val="22"/>
        </w:rPr>
        <w:t>economic și social, în perfectă concordanță cu specificațiile teritori</w:t>
      </w:r>
      <w:r w:rsidRPr="00D16A77">
        <w:rPr>
          <w:rFonts w:ascii="Trebuchet MS" w:eastAsia="Times New Roman" w:hAnsi="Trebuchet MS"/>
          <w:bCs/>
          <w:spacing w:val="2"/>
          <w:sz w:val="22"/>
          <w:szCs w:val="22"/>
        </w:rPr>
        <w:t>ale de tip LEADER</w:t>
      </w:r>
      <w:r w:rsidRPr="00D16A77">
        <w:rPr>
          <w:rFonts w:ascii="Trebuchet MS" w:hAnsi="Trebuchet MS"/>
          <w:sz w:val="22"/>
          <w:szCs w:val="22"/>
        </w:rPr>
        <w:t>. E</w:t>
      </w:r>
      <w:r w:rsidR="00606EBD" w:rsidRPr="00D16A77">
        <w:rPr>
          <w:rFonts w:ascii="Trebuchet MS" w:hAnsi="Trebuchet MS"/>
          <w:sz w:val="22"/>
          <w:szCs w:val="22"/>
        </w:rPr>
        <w:t xml:space="preserve">ste alcătuit din 13 comune </w:t>
      </w:r>
      <w:r w:rsidR="00E076BD" w:rsidRPr="00D16A77">
        <w:rPr>
          <w:rFonts w:ascii="Trebuchet MS" w:hAnsi="Trebuchet MS"/>
          <w:sz w:val="22"/>
          <w:szCs w:val="22"/>
        </w:rPr>
        <w:t>învecinate</w:t>
      </w:r>
      <w:r w:rsidR="00606EBD" w:rsidRPr="00D16A77">
        <w:rPr>
          <w:rFonts w:ascii="Trebuchet MS" w:hAnsi="Trebuchet MS"/>
          <w:sz w:val="22"/>
          <w:szCs w:val="22"/>
        </w:rPr>
        <w:t>, situate în județul H</w:t>
      </w:r>
      <w:r w:rsidRPr="00D16A77">
        <w:rPr>
          <w:rFonts w:ascii="Trebuchet MS" w:hAnsi="Trebuchet MS"/>
          <w:sz w:val="22"/>
          <w:szCs w:val="22"/>
        </w:rPr>
        <w:t>unedoara, se întinde pe o suprafață de 1135,6 km</w:t>
      </w:r>
      <w:r w:rsidRPr="00D16A77">
        <w:rPr>
          <w:rFonts w:ascii="Trebuchet MS" w:hAnsi="Trebuchet MS"/>
          <w:sz w:val="22"/>
          <w:szCs w:val="22"/>
          <w:vertAlign w:val="superscript"/>
        </w:rPr>
        <w:t>2</w:t>
      </w:r>
      <w:r w:rsidRPr="00D16A77">
        <w:rPr>
          <w:rFonts w:ascii="Trebuchet MS" w:hAnsi="Trebuchet MS"/>
          <w:sz w:val="22"/>
          <w:szCs w:val="22"/>
        </w:rPr>
        <w:t>si și deservește o populație de 27.429 locuitori, cu o densitate de 24,15 locuitori/km</w:t>
      </w:r>
      <w:r w:rsidRPr="00D16A77">
        <w:rPr>
          <w:rFonts w:ascii="Trebuchet MS" w:hAnsi="Trebuchet MS"/>
          <w:sz w:val="22"/>
          <w:szCs w:val="22"/>
          <w:vertAlign w:val="superscript"/>
        </w:rPr>
        <w:t>2</w:t>
      </w:r>
      <w:r w:rsidR="004E32B7">
        <w:rPr>
          <w:rFonts w:ascii="Trebuchet MS" w:hAnsi="Trebuchet MS"/>
          <w:sz w:val="22"/>
          <w:szCs w:val="22"/>
        </w:rPr>
        <w:t>.</w:t>
      </w:r>
      <w:r w:rsidRPr="00D16A77">
        <w:rPr>
          <w:rFonts w:ascii="Trebuchet MS" w:hAnsi="Trebuchet MS"/>
          <w:sz w:val="22"/>
          <w:szCs w:val="22"/>
        </w:rPr>
        <w:t xml:space="preserve">Teritoriul cuprinde 5 comune cu indicele de dezvoltare umană locală inferior valorii etalon de 55, în conformitate cu documentul suport ”Lista UAT-urilor cu valorile IDUL corespunzătoare”:  </w:t>
      </w:r>
      <w:r w:rsidRPr="00D16A77">
        <w:rPr>
          <w:rFonts w:ascii="Trebuchet MS" w:hAnsi="Trebuchet MS" w:cs="Calibri"/>
          <w:sz w:val="22"/>
          <w:szCs w:val="22"/>
        </w:rPr>
        <w:t>Buceş - 49,51</w:t>
      </w:r>
      <w:r w:rsidRPr="00D16A77">
        <w:rPr>
          <w:rFonts w:ascii="Trebuchet MS" w:hAnsi="Trebuchet MS" w:cs="Calibri"/>
          <w:sz w:val="22"/>
          <w:szCs w:val="22"/>
          <w:lang w:val="en-US"/>
        </w:rPr>
        <w:t xml:space="preserve">; Bucureşci – 53,49; Bulzeştii de Sus - 29,49; Tomeşti - 54,71; Vălişoara – 49,96. </w:t>
      </w:r>
      <w:r w:rsidRPr="00D16A77">
        <w:rPr>
          <w:rFonts w:ascii="Trebuchet MS" w:hAnsi="Trebuchet MS" w:cs="Calibri"/>
          <w:sz w:val="22"/>
          <w:szCs w:val="22"/>
        </w:rPr>
        <w:t xml:space="preserve">Toate UAT-urile din microregiune sunt cuprinse în </w:t>
      </w:r>
      <w:r w:rsidRPr="00D16A77">
        <w:rPr>
          <w:rFonts w:ascii="Trebuchet MS" w:hAnsi="Trebuchet MS" w:cs="Calibri"/>
          <w:b/>
          <w:sz w:val="22"/>
          <w:szCs w:val="22"/>
        </w:rPr>
        <w:t xml:space="preserve">anexa 5 zone HNV. </w:t>
      </w:r>
      <w:r w:rsidRPr="00D16A77">
        <w:rPr>
          <w:rFonts w:ascii="Trebuchet MS" w:hAnsi="Trebuchet MS" w:cs="Calibri"/>
          <w:sz w:val="22"/>
          <w:szCs w:val="22"/>
        </w:rPr>
        <w:t xml:space="preserve">Se indentifică </w:t>
      </w:r>
      <w:r w:rsidR="00DC7FD7" w:rsidRPr="00D16A77">
        <w:rPr>
          <w:rFonts w:ascii="Trebuchet MS" w:hAnsi="Trebuchet MS"/>
          <w:sz w:val="22"/>
          <w:szCs w:val="22"/>
        </w:rPr>
        <w:t xml:space="preserve">20 situri natura 2000 de importanță comunitară si SPA, </w:t>
      </w:r>
      <w:r w:rsidR="004E32B7">
        <w:rPr>
          <w:rFonts w:ascii="Trebuchet MS" w:hAnsi="Trebuchet MS"/>
          <w:sz w:val="22"/>
          <w:szCs w:val="22"/>
        </w:rPr>
        <w:t>ce cu</w:t>
      </w:r>
      <w:r w:rsidR="00B24C44">
        <w:rPr>
          <w:rFonts w:ascii="Trebuchet MS" w:hAnsi="Trebuchet MS"/>
          <w:sz w:val="22"/>
          <w:szCs w:val="22"/>
        </w:rPr>
        <w:t>p</w:t>
      </w:r>
      <w:r w:rsidR="004E32B7">
        <w:rPr>
          <w:rFonts w:ascii="Trebuchet MS" w:hAnsi="Trebuchet MS"/>
          <w:sz w:val="22"/>
          <w:szCs w:val="22"/>
        </w:rPr>
        <w:t>r</w:t>
      </w:r>
      <w:r w:rsidR="00B24C44">
        <w:rPr>
          <w:rFonts w:ascii="Trebuchet MS" w:hAnsi="Trebuchet MS"/>
          <w:sz w:val="22"/>
          <w:szCs w:val="22"/>
        </w:rPr>
        <w:t>ind marea majoritate a comunelor</w:t>
      </w:r>
      <w:r w:rsidR="00DC7FD7" w:rsidRPr="004F528B">
        <w:rPr>
          <w:rFonts w:ascii="Trebuchet MS" w:hAnsi="Trebuchet MS"/>
          <w:sz w:val="22"/>
          <w:szCs w:val="22"/>
        </w:rPr>
        <w:t xml:space="preserve"> componente ale teritoriului, </w:t>
      </w:r>
      <w:r w:rsidR="00B24C44">
        <w:rPr>
          <w:rFonts w:ascii="Trebuchet MS" w:hAnsi="Trebuchet MS"/>
          <w:sz w:val="22"/>
          <w:szCs w:val="22"/>
        </w:rPr>
        <w:t xml:space="preserve">oferind </w:t>
      </w:r>
      <w:r w:rsidR="00DC7FD7" w:rsidRPr="004F528B">
        <w:rPr>
          <w:rFonts w:ascii="Trebuchet MS" w:hAnsi="Trebuchet MS"/>
          <w:sz w:val="22"/>
          <w:szCs w:val="22"/>
        </w:rPr>
        <w:t xml:space="preserve">numeroase </w:t>
      </w:r>
      <w:r w:rsidR="00DC7FD7" w:rsidRPr="00D16A77">
        <w:rPr>
          <w:rFonts w:ascii="Trebuchet MS" w:hAnsi="Trebuchet MS"/>
          <w:sz w:val="22"/>
          <w:szCs w:val="22"/>
        </w:rPr>
        <w:t xml:space="preserve">obiective de patrimoniu natural și cultural. Parteneriatul propus pentru noua perioadă de programare este format din 43 de membri, 13 autorități publice locale, reprezentând </w:t>
      </w:r>
      <w:r w:rsidR="00B24C44" w:rsidRPr="00B24C44">
        <w:rPr>
          <w:rFonts w:ascii="Trebuchet MS" w:hAnsi="Trebuchet MS"/>
          <w:b/>
          <w:sz w:val="22"/>
          <w:szCs w:val="22"/>
        </w:rPr>
        <w:t>30</w:t>
      </w:r>
      <w:r w:rsidR="00B24C44">
        <w:rPr>
          <w:rFonts w:ascii="Trebuchet MS" w:hAnsi="Trebuchet MS"/>
          <w:b/>
          <w:sz w:val="22"/>
          <w:szCs w:val="22"/>
        </w:rPr>
        <w:t>,23</w:t>
      </w:r>
      <w:r w:rsidR="00DC7FD7" w:rsidRPr="00D16A77">
        <w:rPr>
          <w:rFonts w:ascii="Trebuchet MS" w:hAnsi="Trebuchet MS"/>
          <w:b/>
          <w:sz w:val="22"/>
          <w:szCs w:val="22"/>
        </w:rPr>
        <w:t>%</w:t>
      </w:r>
      <w:r w:rsidR="00DC7FD7" w:rsidRPr="00D16A77">
        <w:rPr>
          <w:rFonts w:ascii="Trebuchet MS" w:hAnsi="Trebuchet MS"/>
          <w:sz w:val="22"/>
          <w:szCs w:val="22"/>
        </w:rPr>
        <w:t xml:space="preserve"> din totalul partenerilor și 30 de privați: firme, ONG-uri și societăți agricole, cu o pondere de </w:t>
      </w:r>
      <w:r w:rsidR="00DC7FD7" w:rsidRPr="00D16A77">
        <w:rPr>
          <w:rFonts w:ascii="Trebuchet MS" w:hAnsi="Trebuchet MS"/>
          <w:b/>
          <w:sz w:val="22"/>
          <w:szCs w:val="22"/>
        </w:rPr>
        <w:t>69,77%</w:t>
      </w:r>
      <w:r w:rsidR="00DC7FD7" w:rsidRPr="00D16A77">
        <w:rPr>
          <w:rFonts w:ascii="Trebuchet MS" w:hAnsi="Trebuchet MS"/>
          <w:sz w:val="22"/>
          <w:szCs w:val="22"/>
        </w:rPr>
        <w:t xml:space="preserve"> din totalul partenerilor.  </w:t>
      </w:r>
      <w:r w:rsidR="005848DC" w:rsidRPr="00D16A77">
        <w:rPr>
          <w:rFonts w:ascii="Trebuchet MS" w:hAnsi="Trebuchet MS"/>
          <w:sz w:val="22"/>
          <w:szCs w:val="22"/>
        </w:rPr>
        <w:t>Din cei 17 parteneri reprezentanți ai societății civile, 4</w:t>
      </w:r>
      <w:r w:rsidR="004E32B7">
        <w:rPr>
          <w:rFonts w:ascii="Trebuchet MS" w:hAnsi="Trebuchet MS"/>
          <w:sz w:val="22"/>
          <w:szCs w:val="22"/>
        </w:rPr>
        <w:t xml:space="preserve"> î</w:t>
      </w:r>
      <w:r w:rsidR="005848DC" w:rsidRPr="00D16A77">
        <w:rPr>
          <w:rFonts w:ascii="Trebuchet MS" w:hAnsi="Trebuchet MS"/>
          <w:sz w:val="22"/>
          <w:szCs w:val="22"/>
        </w:rPr>
        <w:t>ndeplinesc criteriile de selecție CS.2: CS2.3</w:t>
      </w:r>
      <w:r w:rsidR="00DC7FD7" w:rsidRPr="00D16A77">
        <w:rPr>
          <w:rFonts w:ascii="Trebuchet MS" w:hAnsi="Trebuchet MS"/>
          <w:sz w:val="22"/>
          <w:szCs w:val="22"/>
        </w:rPr>
        <w:t xml:space="preserve"> organizație care reprezintă interesele tinerilor</w:t>
      </w:r>
      <w:r w:rsidR="004E32B7">
        <w:rPr>
          <w:rFonts w:ascii="Trebuchet MS" w:hAnsi="Trebuchet MS"/>
          <w:sz w:val="22"/>
          <w:szCs w:val="22"/>
        </w:rPr>
        <w:t>, CS2.</w:t>
      </w:r>
      <w:r w:rsidR="005848DC" w:rsidRPr="00D16A77">
        <w:rPr>
          <w:rFonts w:ascii="Trebuchet MS" w:hAnsi="Trebuchet MS"/>
          <w:sz w:val="22"/>
          <w:szCs w:val="22"/>
        </w:rPr>
        <w:t>4</w:t>
      </w:r>
      <w:r w:rsidR="00DC7FD7" w:rsidRPr="00D16A77">
        <w:rPr>
          <w:rFonts w:ascii="Trebuchet MS" w:hAnsi="Trebuchet MS"/>
          <w:sz w:val="22"/>
          <w:szCs w:val="22"/>
        </w:rPr>
        <w:t xml:space="preserve"> organizație care reprezintă interesele femeilor, </w:t>
      </w:r>
      <w:r w:rsidR="005848DC" w:rsidRPr="00D16A77">
        <w:rPr>
          <w:rFonts w:ascii="Trebuchet MS" w:hAnsi="Trebuchet MS"/>
          <w:sz w:val="22"/>
          <w:szCs w:val="22"/>
        </w:rPr>
        <w:t>CS2.5</w:t>
      </w:r>
      <w:r w:rsidR="00DC7FD7" w:rsidRPr="00D16A77">
        <w:rPr>
          <w:rFonts w:ascii="Trebuchet MS" w:hAnsi="Trebuchet MS"/>
          <w:sz w:val="22"/>
          <w:szCs w:val="22"/>
        </w:rPr>
        <w:t xml:space="preserve"> organizație de mediu,</w:t>
      </w:r>
      <w:r w:rsidR="004E32B7">
        <w:rPr>
          <w:rFonts w:ascii="Trebuchet MS" w:hAnsi="Trebuchet MS"/>
          <w:sz w:val="22"/>
          <w:szCs w:val="22"/>
        </w:rPr>
        <w:t xml:space="preserve"> CS2.</w:t>
      </w:r>
      <w:r w:rsidR="005848DC" w:rsidRPr="00D16A77">
        <w:rPr>
          <w:rFonts w:ascii="Trebuchet MS" w:hAnsi="Trebuchet MS"/>
          <w:sz w:val="22"/>
          <w:szCs w:val="22"/>
        </w:rPr>
        <w:t>53</w:t>
      </w:r>
      <w:r w:rsidR="00DC7FD7" w:rsidRPr="00D16A77">
        <w:rPr>
          <w:rFonts w:ascii="Trebuchet MS" w:hAnsi="Trebuchet MS"/>
          <w:sz w:val="22"/>
          <w:szCs w:val="22"/>
        </w:rPr>
        <w:t xml:space="preserve"> organizații asociative –</w:t>
      </w:r>
      <w:r w:rsidR="005848DC" w:rsidRPr="00D16A77">
        <w:rPr>
          <w:rFonts w:ascii="Trebuchet MS" w:hAnsi="Trebuchet MS"/>
          <w:sz w:val="22"/>
          <w:szCs w:val="22"/>
        </w:rPr>
        <w:t xml:space="preserve"> agricultura.</w:t>
      </w:r>
    </w:p>
    <w:p w:rsidR="008717C0" w:rsidRPr="00D16A77" w:rsidRDefault="004F528B" w:rsidP="00EB70FB">
      <w:pPr>
        <w:spacing w:line="276" w:lineRule="auto"/>
        <w:ind w:firstLine="720"/>
        <w:jc w:val="both"/>
        <w:rPr>
          <w:rFonts w:ascii="Trebuchet MS" w:hAnsi="Trebuchet MS"/>
          <w:color w:val="000000" w:themeColor="text1"/>
          <w:sz w:val="22"/>
          <w:szCs w:val="22"/>
          <w:lang w:val="ro-RO"/>
        </w:rPr>
      </w:pPr>
      <w:r>
        <w:rPr>
          <w:rFonts w:ascii="Trebuchet MS" w:hAnsi="Trebuchet MS"/>
          <w:sz w:val="22"/>
          <w:szCs w:val="22"/>
          <w:lang w:val="ro-RO"/>
        </w:rPr>
        <w:t>Zonă cu preponderenț</w:t>
      </w:r>
      <w:r w:rsidR="00E076BD" w:rsidRPr="00D16A77">
        <w:rPr>
          <w:rFonts w:ascii="Trebuchet MS" w:hAnsi="Trebuchet MS"/>
          <w:sz w:val="22"/>
          <w:szCs w:val="22"/>
          <w:lang w:val="ro-RO"/>
        </w:rPr>
        <w:t>ă deluroasă și montană, teritoriul se confruntă cu numeroase carențe</w:t>
      </w:r>
      <w:r w:rsidR="00AE01D4" w:rsidRPr="00D16A77">
        <w:rPr>
          <w:rFonts w:ascii="Trebuchet MS" w:hAnsi="Trebuchet MS"/>
          <w:color w:val="000000" w:themeColor="text1"/>
          <w:sz w:val="22"/>
          <w:szCs w:val="22"/>
          <w:lang w:val="ro-RO"/>
        </w:rPr>
        <w:t>care alimentează disparitățile dintre urban și rural prin prisma tuturor componentelor sale: economie, infrastructură de orice tip, potențial demografic, s</w:t>
      </w:r>
      <w:r w:rsidR="00B24C44">
        <w:rPr>
          <w:rFonts w:ascii="Trebuchet MS" w:hAnsi="Trebuchet MS"/>
          <w:color w:val="000000" w:themeColor="text1"/>
          <w:sz w:val="22"/>
          <w:szCs w:val="22"/>
          <w:lang w:val="ro-RO"/>
        </w:rPr>
        <w:t>tructuri asociative etc. În cadr</w:t>
      </w:r>
      <w:r w:rsidR="00AE01D4" w:rsidRPr="00D16A77">
        <w:rPr>
          <w:rFonts w:ascii="Trebuchet MS" w:hAnsi="Trebuchet MS"/>
          <w:color w:val="000000" w:themeColor="text1"/>
          <w:sz w:val="22"/>
          <w:szCs w:val="22"/>
          <w:lang w:val="ro-RO"/>
        </w:rPr>
        <w:t xml:space="preserve">ul </w:t>
      </w:r>
      <w:r w:rsidR="00B24C44">
        <w:rPr>
          <w:rFonts w:ascii="Trebuchet MS" w:hAnsi="Trebuchet MS"/>
          <w:color w:val="000000" w:themeColor="text1"/>
          <w:sz w:val="22"/>
          <w:szCs w:val="22"/>
          <w:lang w:val="ro-RO"/>
        </w:rPr>
        <w:t>î</w:t>
      </w:r>
      <w:r w:rsidR="00AE01D4" w:rsidRPr="00D16A77">
        <w:rPr>
          <w:rFonts w:ascii="Trebuchet MS" w:hAnsi="Trebuchet MS"/>
          <w:color w:val="000000" w:themeColor="text1"/>
          <w:sz w:val="22"/>
          <w:szCs w:val="22"/>
          <w:lang w:val="ro-RO"/>
        </w:rPr>
        <w:t>ntâlnirilor de animare, infor</w:t>
      </w:r>
      <w:r w:rsidR="004E32B7">
        <w:rPr>
          <w:rFonts w:ascii="Trebuchet MS" w:hAnsi="Trebuchet MS"/>
          <w:color w:val="000000" w:themeColor="text1"/>
          <w:sz w:val="22"/>
          <w:szCs w:val="22"/>
          <w:lang w:val="ro-RO"/>
        </w:rPr>
        <w:t>mare și consultare desfășurate î</w:t>
      </w:r>
      <w:r w:rsidR="00AE01D4" w:rsidRPr="00D16A77">
        <w:rPr>
          <w:rFonts w:ascii="Trebuchet MS" w:hAnsi="Trebuchet MS"/>
          <w:color w:val="000000" w:themeColor="text1"/>
          <w:sz w:val="22"/>
          <w:szCs w:val="22"/>
          <w:lang w:val="ro-RO"/>
        </w:rPr>
        <w:t xml:space="preserve">n perioada februarie-aprilie 2016, </w:t>
      </w:r>
      <w:r w:rsidR="00AE01D4" w:rsidRPr="00D16A77">
        <w:rPr>
          <w:rFonts w:ascii="Trebuchet MS" w:hAnsi="Trebuchet MS"/>
          <w:sz w:val="22"/>
          <w:szCs w:val="22"/>
          <w:lang w:val="ro-RO"/>
        </w:rPr>
        <w:t xml:space="preserve">membrii parteneriatului și participanții la întâlniri, actori ai dezvoltării rurale din teritoriu, au subliniat în mod repetat nu doar oportunitatea rezolvării problemelor de dezvoltare rurală, dar mai ales aportul substanțial al abordării LEADER, cu impact semnificativ și sustenabilitate ridicată a măsurilor specifice de politică de dezvoltare rurală. </w:t>
      </w:r>
      <w:r w:rsidR="00947576" w:rsidRPr="00D16A77">
        <w:rPr>
          <w:rFonts w:ascii="Trebuchet MS" w:hAnsi="Trebuchet MS"/>
          <w:sz w:val="22"/>
          <w:szCs w:val="22"/>
          <w:lang w:val="ro-RO"/>
        </w:rPr>
        <w:t xml:space="preserve">Exercițiile de viziune a dezvoltării comune și echilibrate a teritoriului </w:t>
      </w:r>
      <w:r w:rsidR="00AE01D4" w:rsidRPr="00D16A77">
        <w:rPr>
          <w:rFonts w:ascii="Trebuchet MS" w:hAnsi="Trebuchet MS"/>
          <w:color w:val="000000" w:themeColor="text1"/>
          <w:sz w:val="22"/>
          <w:szCs w:val="22"/>
          <w:lang w:val="ro-RO"/>
        </w:rPr>
        <w:t>au evidențiat atât nevoile teritorului, cât și direcțiile strategice de dezvoltare și măsurile de implementare corespondente</w:t>
      </w:r>
      <w:r w:rsidR="00947576" w:rsidRPr="00D16A77">
        <w:rPr>
          <w:rFonts w:ascii="Trebuchet MS" w:hAnsi="Trebuchet MS"/>
          <w:color w:val="000000" w:themeColor="text1"/>
          <w:sz w:val="22"/>
          <w:szCs w:val="22"/>
          <w:lang w:val="ro-RO"/>
        </w:rPr>
        <w:t xml:space="preserve">: </w:t>
      </w:r>
      <w:r w:rsidR="00947576" w:rsidRPr="00D16A77">
        <w:rPr>
          <w:rFonts w:ascii="Trebuchet MS" w:hAnsi="Trebuchet MS"/>
          <w:sz w:val="22"/>
          <w:szCs w:val="22"/>
          <w:lang w:val="ro-RO"/>
        </w:rPr>
        <w:t>susținerea elementelor favorizante în direcția agriculturii, ocupație centrală în teritoriul vizat, subliniind</w:t>
      </w:r>
      <w:r w:rsidR="004E32B7">
        <w:rPr>
          <w:rFonts w:ascii="Trebuchet MS" w:hAnsi="Trebuchet MS"/>
          <w:sz w:val="22"/>
          <w:szCs w:val="22"/>
          <w:lang w:val="ro-RO"/>
        </w:rPr>
        <w:t>u</w:t>
      </w:r>
      <w:r w:rsidR="00947576" w:rsidRPr="00D16A77">
        <w:rPr>
          <w:rFonts w:ascii="Trebuchet MS" w:hAnsi="Trebuchet MS"/>
          <w:sz w:val="22"/>
          <w:szCs w:val="22"/>
          <w:lang w:val="ro-RO"/>
        </w:rPr>
        <w:t xml:space="preserve">-se </w:t>
      </w:r>
      <w:r w:rsidR="00B80EE6" w:rsidRPr="00D16A77">
        <w:rPr>
          <w:rFonts w:ascii="Trebuchet MS" w:hAnsi="Trebuchet MS"/>
          <w:sz w:val="22"/>
          <w:szCs w:val="22"/>
          <w:lang w:val="ro-RO"/>
        </w:rPr>
        <w:t xml:space="preserve">ca element esențial în dezvoltarea teritoriului cooperarea </w:t>
      </w:r>
      <w:r w:rsidR="004E32B7">
        <w:rPr>
          <w:rFonts w:ascii="Trebuchet MS" w:hAnsi="Trebuchet MS"/>
          <w:sz w:val="22"/>
          <w:szCs w:val="22"/>
          <w:lang w:val="ro-RO"/>
        </w:rPr>
        <w:t>î</w:t>
      </w:r>
      <w:r w:rsidR="00B80EE6" w:rsidRPr="00D16A77">
        <w:rPr>
          <w:rFonts w:ascii="Trebuchet MS" w:hAnsi="Trebuchet MS"/>
          <w:sz w:val="22"/>
          <w:szCs w:val="22"/>
          <w:lang w:val="ro-RO"/>
        </w:rPr>
        <w:t>n scopul creăr</w:t>
      </w:r>
      <w:r w:rsidR="004E32B7">
        <w:rPr>
          <w:rFonts w:ascii="Trebuchet MS" w:hAnsi="Trebuchet MS"/>
          <w:sz w:val="22"/>
          <w:szCs w:val="22"/>
          <w:lang w:val="ro-RO"/>
        </w:rPr>
        <w:t>ii de forme asociative, rețele ș</w:t>
      </w:r>
      <w:r w:rsidR="00B80EE6" w:rsidRPr="00D16A77">
        <w:rPr>
          <w:rFonts w:ascii="Trebuchet MS" w:hAnsi="Trebuchet MS"/>
          <w:sz w:val="22"/>
          <w:szCs w:val="22"/>
          <w:lang w:val="ro-RO"/>
        </w:rPr>
        <w:t>i clustere, grupuri operaționale pentru diversificarea activităților rurale</w:t>
      </w:r>
      <w:r w:rsidR="00B80EE6" w:rsidRPr="00D16A77">
        <w:rPr>
          <w:rFonts w:ascii="Trebuchet MS" w:hAnsi="Trebuchet MS"/>
          <w:sz w:val="22"/>
          <w:szCs w:val="22"/>
        </w:rPr>
        <w:t xml:space="preserve">; </w:t>
      </w:r>
      <w:r w:rsidR="00947576" w:rsidRPr="00D16A77">
        <w:rPr>
          <w:rFonts w:ascii="Trebuchet MS" w:hAnsi="Trebuchet MS"/>
          <w:sz w:val="22"/>
          <w:szCs w:val="22"/>
          <w:lang w:val="ro-RO"/>
        </w:rPr>
        <w:t>posibilitățil</w:t>
      </w:r>
      <w:r w:rsidR="008717C0" w:rsidRPr="00D16A77">
        <w:rPr>
          <w:rFonts w:ascii="Trebuchet MS" w:hAnsi="Trebuchet MS"/>
          <w:sz w:val="22"/>
          <w:szCs w:val="22"/>
          <w:lang w:val="ro-RO"/>
        </w:rPr>
        <w:t>e</w:t>
      </w:r>
      <w:r w:rsidR="00947576" w:rsidRPr="00D16A77">
        <w:rPr>
          <w:rFonts w:ascii="Trebuchet MS" w:hAnsi="Trebuchet MS"/>
          <w:sz w:val="22"/>
          <w:szCs w:val="22"/>
          <w:lang w:val="ro-RO"/>
        </w:rPr>
        <w:t xml:space="preserve"> de diversificare </w:t>
      </w:r>
      <w:r w:rsidR="00947576" w:rsidRPr="00D16A77">
        <w:rPr>
          <w:rFonts w:ascii="Trebuchet MS" w:hAnsi="Trebuchet MS"/>
          <w:sz w:val="22"/>
          <w:szCs w:val="22"/>
          <w:lang w:val="ro-RO"/>
        </w:rPr>
        <w:lastRenderedPageBreak/>
        <w:t xml:space="preserve">a activităților economice </w:t>
      </w:r>
      <w:r w:rsidR="008717C0" w:rsidRPr="00D16A77">
        <w:rPr>
          <w:rFonts w:ascii="Trebuchet MS" w:hAnsi="Trebuchet MS"/>
          <w:sz w:val="22"/>
          <w:szCs w:val="22"/>
          <w:lang w:val="ro-RO"/>
        </w:rPr>
        <w:t xml:space="preserve">non-agricole </w:t>
      </w:r>
      <w:r w:rsidR="00947576" w:rsidRPr="00D16A77">
        <w:rPr>
          <w:rFonts w:ascii="Trebuchet MS" w:hAnsi="Trebuchet MS"/>
          <w:sz w:val="22"/>
          <w:szCs w:val="22"/>
          <w:lang w:val="ro-RO"/>
        </w:rPr>
        <w:t xml:space="preserve">rurale, și în special a serviciilor, </w:t>
      </w:r>
      <w:r w:rsidR="008717C0" w:rsidRPr="00D16A77">
        <w:rPr>
          <w:rFonts w:ascii="Trebuchet MS" w:hAnsi="Trebuchet MS"/>
          <w:sz w:val="22"/>
          <w:szCs w:val="22"/>
          <w:lang w:val="ro-RO"/>
        </w:rPr>
        <w:t xml:space="preserve">prin </w:t>
      </w:r>
      <w:r w:rsidR="008717C0" w:rsidRPr="00D16A77">
        <w:rPr>
          <w:rFonts w:ascii="Trebuchet MS" w:hAnsi="Trebuchet MS"/>
          <w:color w:val="000000" w:themeColor="text1"/>
          <w:sz w:val="22"/>
          <w:szCs w:val="22"/>
          <w:lang w:val="ro-RO"/>
        </w:rPr>
        <w:t>stimularea mediului de afaceri în a valorifica resursele și potențialul cultural și natural al teritoriului</w:t>
      </w:r>
      <w:r w:rsidR="00947576" w:rsidRPr="00D16A77">
        <w:rPr>
          <w:rFonts w:ascii="Trebuchet MS" w:hAnsi="Trebuchet MS"/>
          <w:sz w:val="22"/>
          <w:szCs w:val="22"/>
          <w:lang w:val="ro-RO"/>
        </w:rPr>
        <w:t>. O componentă esențială, cu mare potențial de complementare a acțiunilor, intervențiilor și investițiilor reținute ca propuneri este reprezentată de dezvoltarea și modernizarea elementelor de infrastructură civică, socială și culturală pentru impactul pe termen mediu și lung asupra ansamblului dezvoltării și a creșterii c</w:t>
      </w:r>
      <w:r w:rsidR="008717C0" w:rsidRPr="00D16A77">
        <w:rPr>
          <w:rFonts w:ascii="Trebuchet MS" w:hAnsi="Trebuchet MS"/>
          <w:sz w:val="22"/>
          <w:szCs w:val="22"/>
          <w:lang w:val="ro-RO"/>
        </w:rPr>
        <w:t>alității vieții în mediul rural; p</w:t>
      </w:r>
      <w:r w:rsidR="008717C0" w:rsidRPr="00D16A77">
        <w:rPr>
          <w:rFonts w:ascii="Trebuchet MS" w:hAnsi="Trebuchet MS"/>
          <w:color w:val="000000" w:themeColor="text1"/>
          <w:sz w:val="22"/>
          <w:szCs w:val="22"/>
          <w:lang w:val="ro-RO"/>
        </w:rPr>
        <w:t xml:space="preserve">osibilitățile de eliminare a barierelor de dezvoltare ce produc excludere, marginalizare socială, amplifică sărăcia rurală sau reduc șansele de integrare socială sau profesională pentru anumite categorii sociale sau minorități etnice, inclusiv etnia romă, se regăsesc nu numai în interesul exprimat de reprezentanții comunităților, dar își găsesc locul și în formele specifice de sprijin public.  Nivelul alocărilor financiare pe măsuri și priorități și a ponderilor diferitelor direcții strategice reținute de SDL reflectă nu numai nevoile formulate de participanții la întâlnirile de animare, informare și la consultări ci și realitatea economiei și dinamicii teritoriului confirmate de analize (analiza diagnostic și analiza de potențial, SWOT). </w:t>
      </w:r>
    </w:p>
    <w:p w:rsidR="008717C0" w:rsidRPr="00D16A77" w:rsidRDefault="008717C0" w:rsidP="00EB70FB">
      <w:pPr>
        <w:spacing w:line="276" w:lineRule="auto"/>
        <w:ind w:firstLine="720"/>
        <w:jc w:val="both"/>
        <w:rPr>
          <w:rFonts w:ascii="Trebuchet MS" w:hAnsi="Trebuchet MS"/>
          <w:color w:val="000000" w:themeColor="text1"/>
          <w:sz w:val="22"/>
          <w:szCs w:val="22"/>
          <w:lang w:val="ro-RO"/>
        </w:rPr>
      </w:pPr>
      <w:r w:rsidRPr="00D16A77">
        <w:rPr>
          <w:rFonts w:ascii="Trebuchet MS" w:hAnsi="Trebuchet MS"/>
          <w:color w:val="000000" w:themeColor="text1"/>
          <w:sz w:val="22"/>
          <w:szCs w:val="22"/>
          <w:lang w:val="ro-RO"/>
        </w:rPr>
        <w:t>Efortul principal de susținere a dezvoltării rurale locale echilibrate și sustenabile este secondat de eforturile specifice de modernizare a infrastructurii de orice tip pentru susținerea dezvoltării rurale în direcția creșterii competitivității agriculturii cu toate sectoarele sale, posibilitatea colaborativă de a implementa scheme de calitate și de diversificare a economiei rurale prin antreprenoriat neagricol. Aceste linii strategice majore ale SDL sunt acoperite transversal de prioritatea și măsurile specifice dedicate inovării și transferului tehnologic și de capacitatea de a răspunde la provocările modificărilor climatice și problemelor specifice de mediu asigurate prin dezvoltarea, transmiterea și însușirea de cunoștințe prin acțiuni de colaborare, formare și dobândirea de experiență. Nevoile specifice de integrare socială pentru grupuri dezavantajate sau în dificultate, pentru lărgirea posibilităților de afirmare și exprimare a minorităților etnice întregesc tabloul acțiunilor specifice propuse de SDL pentru dezvoltarea echilibrată și rațională a teritoriului propus de parteneriat.</w:t>
      </w:r>
    </w:p>
    <w:p w:rsidR="005848DC" w:rsidRDefault="004E32B7" w:rsidP="00EB70FB">
      <w:pPr>
        <w:spacing w:line="276" w:lineRule="auto"/>
        <w:ind w:firstLine="720"/>
        <w:jc w:val="both"/>
        <w:rPr>
          <w:rFonts w:ascii="Trebuchet MS" w:hAnsi="Trebuchet MS"/>
          <w:sz w:val="22"/>
          <w:szCs w:val="22"/>
          <w:lang w:val="ro-RO"/>
        </w:rPr>
      </w:pPr>
      <w:r>
        <w:rPr>
          <w:rFonts w:ascii="Trebuchet MS" w:hAnsi="Trebuchet MS"/>
          <w:sz w:val="22"/>
          <w:szCs w:val="22"/>
          <w:lang w:val="ro-RO"/>
        </w:rPr>
        <w:t>Î</w:t>
      </w:r>
      <w:r w:rsidR="005848DC" w:rsidRPr="00D16A77">
        <w:rPr>
          <w:rFonts w:ascii="Trebuchet MS" w:hAnsi="Trebuchet MS"/>
          <w:sz w:val="22"/>
          <w:szCs w:val="22"/>
          <w:lang w:val="ro-RO"/>
        </w:rPr>
        <w:t xml:space="preserve">n termeni de impact a implementării Strategiei de Dezvoltare Locală, transversal priorităților strategice atât ale SDL cât și cele naționale și europene stipulate în Reg.1305/2013, peste 27.000 de locuitori din teritoriul acoperit de parteneriat vor beneficia de elemente de infrastructură și servicii îmbunătățite, </w:t>
      </w:r>
      <w:r w:rsidR="00D16A77" w:rsidRPr="00D16A77">
        <w:rPr>
          <w:rFonts w:ascii="Trebuchet MS" w:hAnsi="Trebuchet MS"/>
          <w:sz w:val="22"/>
          <w:szCs w:val="22"/>
          <w:lang w:val="ro-RO"/>
        </w:rPr>
        <w:t xml:space="preserve">30 </w:t>
      </w:r>
      <w:r w:rsidR="005848DC" w:rsidRPr="00D16A77">
        <w:rPr>
          <w:rFonts w:ascii="Trebuchet MS" w:hAnsi="Trebuchet MS"/>
          <w:sz w:val="22"/>
          <w:szCs w:val="22"/>
          <w:lang w:val="ro-RO"/>
        </w:rPr>
        <w:t xml:space="preserve"> antreprenori rurali în domeniile agricol și neagricol vor acumula noi cunoștințe și priceperi și vor avea acces la cele mai recente tehnologii și inovații din domeniile de activitate respective generate de </w:t>
      </w:r>
      <w:r w:rsidR="00D16A77" w:rsidRPr="00D16A77">
        <w:rPr>
          <w:rFonts w:ascii="Trebuchet MS" w:hAnsi="Trebuchet MS"/>
          <w:sz w:val="22"/>
          <w:szCs w:val="22"/>
          <w:lang w:val="ro-RO"/>
        </w:rPr>
        <w:t xml:space="preserve">cel puțin o </w:t>
      </w:r>
      <w:r w:rsidR="005848DC" w:rsidRPr="00D16A77">
        <w:rPr>
          <w:rFonts w:ascii="Trebuchet MS" w:hAnsi="Trebuchet MS"/>
          <w:sz w:val="22"/>
          <w:szCs w:val="22"/>
          <w:lang w:val="ro-RO"/>
        </w:rPr>
        <w:t xml:space="preserve"> form</w:t>
      </w:r>
      <w:r w:rsidR="00D16A77" w:rsidRPr="00D16A77">
        <w:rPr>
          <w:rFonts w:ascii="Trebuchet MS" w:hAnsi="Trebuchet MS"/>
          <w:sz w:val="22"/>
          <w:szCs w:val="22"/>
          <w:lang w:val="ro-RO"/>
        </w:rPr>
        <w:t>a</w:t>
      </w:r>
      <w:r w:rsidR="005848DC" w:rsidRPr="00D16A77">
        <w:rPr>
          <w:rFonts w:ascii="Trebuchet MS" w:hAnsi="Trebuchet MS"/>
          <w:sz w:val="22"/>
          <w:szCs w:val="22"/>
          <w:lang w:val="ro-RO"/>
        </w:rPr>
        <w:t xml:space="preserve"> asociativ</w:t>
      </w:r>
      <w:r w:rsidR="00D16A77" w:rsidRPr="00D16A77">
        <w:rPr>
          <w:rFonts w:ascii="Trebuchet MS" w:hAnsi="Trebuchet MS"/>
          <w:sz w:val="22"/>
          <w:szCs w:val="22"/>
          <w:lang w:val="ro-RO"/>
        </w:rPr>
        <w:t>a</w:t>
      </w:r>
      <w:r w:rsidR="005848DC" w:rsidRPr="00D16A77">
        <w:rPr>
          <w:rFonts w:ascii="Trebuchet MS" w:hAnsi="Trebuchet MS"/>
          <w:sz w:val="22"/>
          <w:szCs w:val="22"/>
          <w:lang w:val="ro-RO"/>
        </w:rPr>
        <w:t xml:space="preserve">, </w:t>
      </w:r>
      <w:r w:rsidR="00D16A77" w:rsidRPr="00D16A77">
        <w:rPr>
          <w:rFonts w:ascii="Trebuchet MS" w:hAnsi="Trebuchet MS"/>
          <w:sz w:val="22"/>
          <w:szCs w:val="22"/>
          <w:lang w:val="ro-RO"/>
        </w:rPr>
        <w:t>10</w:t>
      </w:r>
      <w:r w:rsidR="005848DC" w:rsidRPr="00D16A77">
        <w:rPr>
          <w:rFonts w:ascii="Trebuchet MS" w:hAnsi="Trebuchet MS"/>
          <w:sz w:val="22"/>
          <w:szCs w:val="22"/>
          <w:lang w:val="ro-RO"/>
        </w:rPr>
        <w:t xml:space="preserve"> exploatații, respectiv beneficiari, vor face obiectul investițiilor în modernizare și creșterea competitivității în agricultură și vor contribui la regenerarea segmentului productiv din agricultură beneficiind de aportul </w:t>
      </w:r>
      <w:r w:rsidR="00D16A77" w:rsidRPr="00D16A77">
        <w:rPr>
          <w:rFonts w:ascii="Trebuchet MS" w:hAnsi="Trebuchet MS"/>
          <w:sz w:val="22"/>
          <w:szCs w:val="22"/>
          <w:lang w:val="ro-RO"/>
        </w:rPr>
        <w:t xml:space="preserve">unei </w:t>
      </w:r>
      <w:r w:rsidR="005848DC" w:rsidRPr="00D16A77">
        <w:rPr>
          <w:rFonts w:ascii="Trebuchet MS" w:hAnsi="Trebuchet MS"/>
          <w:sz w:val="22"/>
          <w:szCs w:val="22"/>
          <w:lang w:val="ro-RO"/>
        </w:rPr>
        <w:t xml:space="preserve"> schem</w:t>
      </w:r>
      <w:r w:rsidR="00D16A77" w:rsidRPr="00D16A77">
        <w:rPr>
          <w:rFonts w:ascii="Trebuchet MS" w:hAnsi="Trebuchet MS"/>
          <w:sz w:val="22"/>
          <w:szCs w:val="22"/>
          <w:lang w:val="ro-RO"/>
        </w:rPr>
        <w:t>e</w:t>
      </w:r>
      <w:r w:rsidR="005848DC" w:rsidRPr="00D16A77">
        <w:rPr>
          <w:rFonts w:ascii="Trebuchet MS" w:hAnsi="Trebuchet MS"/>
          <w:sz w:val="22"/>
          <w:szCs w:val="22"/>
          <w:lang w:val="ro-RO"/>
        </w:rPr>
        <w:t xml:space="preserve"> de calitate implementat</w:t>
      </w:r>
      <w:r w:rsidR="00D16A77" w:rsidRPr="00D16A77">
        <w:rPr>
          <w:rFonts w:ascii="Trebuchet MS" w:hAnsi="Trebuchet MS"/>
          <w:sz w:val="22"/>
          <w:szCs w:val="22"/>
          <w:lang w:val="ro-RO"/>
        </w:rPr>
        <w:t>a</w:t>
      </w:r>
      <w:r w:rsidR="005848DC" w:rsidRPr="00D16A77">
        <w:rPr>
          <w:rFonts w:ascii="Trebuchet MS" w:hAnsi="Trebuchet MS"/>
          <w:sz w:val="22"/>
          <w:szCs w:val="22"/>
          <w:lang w:val="ro-RO"/>
        </w:rPr>
        <w:t xml:space="preserve"> și diseminat</w:t>
      </w:r>
      <w:r w:rsidR="00D16A77" w:rsidRPr="00D16A77">
        <w:rPr>
          <w:rFonts w:ascii="Trebuchet MS" w:hAnsi="Trebuchet MS"/>
          <w:sz w:val="22"/>
          <w:szCs w:val="22"/>
          <w:lang w:val="ro-RO"/>
        </w:rPr>
        <w:t>a</w:t>
      </w:r>
      <w:r w:rsidR="005848DC" w:rsidRPr="00D16A77">
        <w:rPr>
          <w:rFonts w:ascii="Trebuchet MS" w:hAnsi="Trebuchet MS"/>
          <w:sz w:val="22"/>
          <w:szCs w:val="22"/>
          <w:lang w:val="ro-RO"/>
        </w:rPr>
        <w:t xml:space="preserve"> în întreg teritoriul GAL, toate acestea complementate de intervențiile specifice materializate în investiții în infrastructura socială și acțiuni și servicii specifice destinate grupurilor marginalizate social și în special etnia romă.</w:t>
      </w:r>
    </w:p>
    <w:p w:rsidR="008717C0" w:rsidRPr="00D16A77" w:rsidRDefault="00D16A77" w:rsidP="00EB70FB">
      <w:pPr>
        <w:spacing w:line="276" w:lineRule="auto"/>
        <w:ind w:firstLine="720"/>
        <w:jc w:val="both"/>
        <w:rPr>
          <w:rFonts w:ascii="Trebuchet MS" w:hAnsi="Trebuchet MS"/>
          <w:color w:val="000000" w:themeColor="text1"/>
          <w:sz w:val="22"/>
          <w:szCs w:val="22"/>
          <w:lang w:val="ro-RO"/>
        </w:rPr>
      </w:pPr>
      <w:r w:rsidRPr="00396907">
        <w:rPr>
          <w:rFonts w:ascii="Trebuchet MS" w:hAnsi="Trebuchet MS"/>
          <w:color w:val="000000" w:themeColor="text1"/>
          <w:sz w:val="22"/>
          <w:szCs w:val="22"/>
          <w:lang w:val="ro-RO"/>
        </w:rPr>
        <w:t xml:space="preserve">Grupul de Acțiune Locală va promova, de asemenea, activități de cooperare LEADER destinate implementării prin sub-măsura 19.3 în direcțiile priorităților strategice proprii SDL. </w:t>
      </w:r>
    </w:p>
    <w:p w:rsidR="008717C0" w:rsidRPr="00D16A77" w:rsidRDefault="008717C0" w:rsidP="00EB70FB">
      <w:pPr>
        <w:spacing w:line="276" w:lineRule="auto"/>
        <w:ind w:firstLine="720"/>
        <w:jc w:val="both"/>
        <w:rPr>
          <w:rFonts w:ascii="Trebuchet MS" w:hAnsi="Trebuchet MS"/>
          <w:color w:val="000000" w:themeColor="text1"/>
          <w:sz w:val="22"/>
          <w:szCs w:val="22"/>
          <w:lang w:val="ro-RO"/>
        </w:rPr>
      </w:pPr>
    </w:p>
    <w:p w:rsidR="008717C0" w:rsidRPr="00D16A77" w:rsidRDefault="008717C0" w:rsidP="00EB70FB">
      <w:pPr>
        <w:spacing w:line="276" w:lineRule="auto"/>
        <w:jc w:val="both"/>
        <w:rPr>
          <w:rFonts w:ascii="Trebuchet MS" w:hAnsi="Trebuchet MS"/>
          <w:sz w:val="22"/>
          <w:szCs w:val="22"/>
          <w:lang w:val="ro-RO"/>
        </w:rPr>
      </w:pPr>
    </w:p>
    <w:sectPr w:rsidR="008717C0" w:rsidRPr="00D16A77" w:rsidSect="00EB70FB">
      <w:pgSz w:w="11907" w:h="16839" w:code="9"/>
      <w:pgMar w:top="1417" w:right="1417" w:bottom="1417" w:left="1417"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06EBD"/>
    <w:rsid w:val="00030D9D"/>
    <w:rsid w:val="0003747E"/>
    <w:rsid w:val="00081624"/>
    <w:rsid w:val="00130238"/>
    <w:rsid w:val="00147A91"/>
    <w:rsid w:val="00164739"/>
    <w:rsid w:val="00170051"/>
    <w:rsid w:val="00183D5A"/>
    <w:rsid w:val="00225B18"/>
    <w:rsid w:val="002D7E90"/>
    <w:rsid w:val="002F6903"/>
    <w:rsid w:val="00336879"/>
    <w:rsid w:val="003D06D7"/>
    <w:rsid w:val="003D6586"/>
    <w:rsid w:val="003D6788"/>
    <w:rsid w:val="003F2103"/>
    <w:rsid w:val="00400633"/>
    <w:rsid w:val="004448BD"/>
    <w:rsid w:val="004B1657"/>
    <w:rsid w:val="004E32B7"/>
    <w:rsid w:val="004E4C4D"/>
    <w:rsid w:val="004F528B"/>
    <w:rsid w:val="004F663C"/>
    <w:rsid w:val="00510A7B"/>
    <w:rsid w:val="005848DC"/>
    <w:rsid w:val="00596CC4"/>
    <w:rsid w:val="005B0EFE"/>
    <w:rsid w:val="005D3C49"/>
    <w:rsid w:val="005D6B20"/>
    <w:rsid w:val="005E4775"/>
    <w:rsid w:val="005F78C8"/>
    <w:rsid w:val="006016BE"/>
    <w:rsid w:val="00606EBD"/>
    <w:rsid w:val="00607B0D"/>
    <w:rsid w:val="00610B9B"/>
    <w:rsid w:val="00637B08"/>
    <w:rsid w:val="006A3366"/>
    <w:rsid w:val="006B5B4A"/>
    <w:rsid w:val="007712C7"/>
    <w:rsid w:val="00773F4C"/>
    <w:rsid w:val="0079551E"/>
    <w:rsid w:val="007A10BC"/>
    <w:rsid w:val="007B2DDD"/>
    <w:rsid w:val="008060C9"/>
    <w:rsid w:val="00866ABA"/>
    <w:rsid w:val="008717C0"/>
    <w:rsid w:val="008901A5"/>
    <w:rsid w:val="008A4FC6"/>
    <w:rsid w:val="008F5D98"/>
    <w:rsid w:val="00904862"/>
    <w:rsid w:val="00910585"/>
    <w:rsid w:val="00913690"/>
    <w:rsid w:val="0094655B"/>
    <w:rsid w:val="00947576"/>
    <w:rsid w:val="009A3E9A"/>
    <w:rsid w:val="009C7BF9"/>
    <w:rsid w:val="009E6BC4"/>
    <w:rsid w:val="00A1159E"/>
    <w:rsid w:val="00A15CAF"/>
    <w:rsid w:val="00A9539B"/>
    <w:rsid w:val="00AA243C"/>
    <w:rsid w:val="00AB2D44"/>
    <w:rsid w:val="00AC37B1"/>
    <w:rsid w:val="00AE01D4"/>
    <w:rsid w:val="00B20080"/>
    <w:rsid w:val="00B231BA"/>
    <w:rsid w:val="00B24C44"/>
    <w:rsid w:val="00B500C8"/>
    <w:rsid w:val="00B80EE6"/>
    <w:rsid w:val="00B85824"/>
    <w:rsid w:val="00BB17BB"/>
    <w:rsid w:val="00BB2857"/>
    <w:rsid w:val="00BD43A3"/>
    <w:rsid w:val="00C0030C"/>
    <w:rsid w:val="00C81EC8"/>
    <w:rsid w:val="00D00ED9"/>
    <w:rsid w:val="00D16A77"/>
    <w:rsid w:val="00D3443E"/>
    <w:rsid w:val="00D56521"/>
    <w:rsid w:val="00D62175"/>
    <w:rsid w:val="00D95E34"/>
    <w:rsid w:val="00DC7FD7"/>
    <w:rsid w:val="00E076BD"/>
    <w:rsid w:val="00E27C15"/>
    <w:rsid w:val="00EA6A11"/>
    <w:rsid w:val="00EB6428"/>
    <w:rsid w:val="00EB70FB"/>
    <w:rsid w:val="00ED2B27"/>
    <w:rsid w:val="00EF7727"/>
    <w:rsid w:val="00F21364"/>
    <w:rsid w:val="00F47201"/>
    <w:rsid w:val="00FA6FDA"/>
    <w:rsid w:val="00FB4821"/>
    <w:rsid w:val="00FE1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0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FD7"/>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B0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7FD7"/>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8397-3B97-4D02-A7AD-18BC0D0A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bernecker</dc:creator>
  <cp:lastModifiedBy>lenovo1</cp:lastModifiedBy>
  <cp:revision>8</cp:revision>
  <cp:lastPrinted>2016-04-26T16:05:00Z</cp:lastPrinted>
  <dcterms:created xsi:type="dcterms:W3CDTF">2016-04-26T07:33:00Z</dcterms:created>
  <dcterms:modified xsi:type="dcterms:W3CDTF">2017-07-27T09:40:00Z</dcterms:modified>
</cp:coreProperties>
</file>